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2026年度云南省人大常委会机关零星修缮监理服务项目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72"/>
          <w:szCs w:val="72"/>
          <w:lang w:val="en-US" w:eastAsia="zh-CN"/>
        </w:rPr>
        <w:t>比选材料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供应商（盖章）：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日         期：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报价函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云南省人大常委会办公厅：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我单位已仔细阅读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2026年度云南省人大常委会机关零星修缮监理服务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比选邀请书，了解比选规则且无异议，同意参加本次比选活动。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我单位报价如下：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单个修缮项目监理费 = 经采购人委托的造价咨询服务单位审定的单个修缮项目造价×费率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%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以上价格为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针对本项目的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全部含税价格，无其他费用。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我单位同时承诺：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完全符合供应商资格条件，完全响应采购内容及要求，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对所提供比选材料的真实性负责，如有虚假，将依法承担相应责任。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（供应商盖章）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　　　　　　　　　　　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　　　　　　　　　　　法定代表人（签字）：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FE4591"/>
    <w:rsid w:val="7BFDADEC"/>
    <w:rsid w:val="7E77F631"/>
    <w:rsid w:val="9A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b/>
      <w:bCs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2026-05-07T00:24:00Z</dcterms:created>
  <dc:creator>郑坚</dc:creator>
  <cp:lastModifiedBy>郑坚</cp:lastModifiedBy>
  <dcterms:modified xsi:type="dcterms:W3CDTF">2026-05-06T16:29:43Z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